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6238F3" w:rsidRDefault="00D57AFF" w:rsidP="008735ED">
          <w:pPr>
            <w:pStyle w:val="Meno"/>
          </w:pPr>
          <w:r w:rsidRPr="008735ED">
            <w:t>AUTEX Top</w:t>
          </w:r>
          <w:r w:rsidR="006238F3" w:rsidRPr="008735ED">
            <w:t xml:space="preserve"> </w:t>
          </w:r>
          <w:proofErr w:type="spellStart"/>
          <w:r w:rsidR="006238F3" w:rsidRPr="008735ED">
            <w:t>Diesel</w:t>
          </w:r>
          <w:proofErr w:type="spellEnd"/>
          <w:r w:rsidR="00D63ED3" w:rsidRPr="008735ED">
            <w:t xml:space="preserve"> 5W-3</w:t>
          </w:r>
          <w:r w:rsidR="0015326D" w:rsidRPr="008735ED">
            <w:t>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pOPIS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2179B6" w:rsidRPr="00C728C1" w:rsidRDefault="000D7F95" w:rsidP="005C7B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Top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Diesel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5W-30 je syntetický, prémiový, palivo šetriaci motorový olej s nízkym obsahom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sulfátového popola, síry a fosforu (</w:t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Low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SAPS), pre najmodernejšie úžitkové vozidlá. Zachováva si svoje vynikajúce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vlastnosti aj pri trvalo vysokých teplotách motora, vďaka vysokej oxidačnej stabilite syntetických olejov. Zaisťuje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vynikajúcu ochranu motora aj pre dlhé výmenné intervaly oleja. Spĺňa požiadavky širokého</w:t>
            </w:r>
            <w:bookmarkStart w:id="0" w:name="_GoBack"/>
            <w:bookmarkEnd w:id="0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rozsahu výkonnostných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úrovní výrobcov motorov spoločne s najprísnejšími americkými a európskymi špecifikáciami pre naftové motorové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oleje. Odporúča sa najmä pre motorové vozidlá, ktoré sú vyrábané so systémami čistenia výfukových plynov, ktoré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vyhovujú emisným požiadavkám noriem Euro IV, Euro V a Euro VI</w:t>
            </w:r>
            <w:r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2179B6" w:rsidTr="00EC3EA0">
        <w:trPr>
          <w:trHeight w:val="1008"/>
        </w:trPr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0D7F95" w:rsidRPr="000D7F95" w:rsidRDefault="000D7F95" w:rsidP="000D7F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Úžitkové vozidlá vybavené systémami EGR (spätná cirkulácia výfukových plynov), SCR (selektívna katalytická redukcia), filtrom pevných častíc (DPF) a/alebo dieselovým oxidačným katalyzátorom (DOC).</w:t>
            </w:r>
          </w:p>
          <w:p w:rsidR="000D7F95" w:rsidRPr="000D7F95" w:rsidRDefault="000D7F95" w:rsidP="000D7F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Motory úžitkových vozidiel poháňané palivom s nízkym a </w:t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ultra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nízkym obsahom síry</w:t>
            </w:r>
          </w:p>
          <w:p w:rsidR="000D7F95" w:rsidRPr="000D7F95" w:rsidRDefault="000D7F95" w:rsidP="000D7F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Vysoko výkonné preplňované alebo nepreplňované motory úžitkových vozidiel</w:t>
            </w:r>
          </w:p>
          <w:p w:rsidR="000D7F95" w:rsidRPr="000D7F95" w:rsidRDefault="000D7F95" w:rsidP="000D7F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Motory autobusov a úžitkových vozidiel, ktoré jazdia na krátkych a dlhých trasách</w:t>
            </w:r>
          </w:p>
          <w:p w:rsidR="000D7F95" w:rsidRPr="000D7F95" w:rsidRDefault="000D7F95" w:rsidP="000D7F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Motory banských, stavebných a poľnohospodárskych strojov</w:t>
            </w:r>
          </w:p>
          <w:p w:rsidR="002179B6" w:rsidRPr="000D7F95" w:rsidRDefault="000D7F95" w:rsidP="000D7F9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Železničné a lodné naftové motory pracujúce pri nízkych otáčkach a vysokom zaťažení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2"/>
              <w:gridCol w:w="5328"/>
            </w:tblGrid>
            <w:tr w:rsidR="000D7F95" w:rsidRPr="000D7F95" w:rsidTr="000D7F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Nízky obsah popola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Zaručuje dlhú životnosť systémov dodatočnej úpravy výfukových plynov</w:t>
                  </w:r>
                </w:p>
              </w:tc>
            </w:tr>
            <w:tr w:rsidR="000D7F95" w:rsidRPr="000D7F95" w:rsidTr="000D7F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dlhá životnosť oleja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Znižuje frekvenciu prestojov, prevádzkových nákladov a znečistenie životného prostredia</w:t>
                  </w:r>
                </w:p>
              </w:tc>
            </w:tr>
            <w:tr w:rsidR="000D7F95" w:rsidRPr="000D7F95" w:rsidTr="000D7F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Formulácia šetriaca palivo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Jeho použitie umožňuje znížiť prevádzkové náklady a emisie škodlivých látok</w:t>
                  </w:r>
                </w:p>
              </w:tc>
            </w:tr>
            <w:tr w:rsidR="000D7F95" w:rsidRPr="000D7F95" w:rsidTr="000D7F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prchavosť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Nižšia spotreba oleja a zníženie emisií škodlivých látok</w:t>
                  </w:r>
                </w:p>
              </w:tc>
            </w:tr>
            <w:tr w:rsidR="000D7F95" w:rsidRPr="000D7F95" w:rsidTr="000D7F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Zabezpečuje ľahké štartovanie aj v extrémnom chlade, zvyšuje životnosť autobatérie</w:t>
                  </w:r>
                </w:p>
              </w:tc>
            </w:tr>
            <w:tr w:rsidR="000D7F95" w:rsidRPr="000D7F95" w:rsidTr="000D7F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manipulácia so sadzami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Ochrana proti usadeninám sadzí a lešteniu</w:t>
                  </w:r>
                </w:p>
              </w:tc>
            </w:tr>
            <w:tr w:rsidR="000D7F95" w:rsidRPr="000D7F95" w:rsidTr="000D7F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Výnimočná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7F95" w:rsidRPr="000D7F95" w:rsidRDefault="000D7F95" w:rsidP="000D7F9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Znižuje tvorbu kalu pri nízkych teplotách a usadenín pri vysokých teplotách</w:t>
                  </w:r>
                </w:p>
              </w:tc>
            </w:tr>
          </w:tbl>
          <w:p w:rsidR="000D7F95" w:rsidRPr="000D7F95" w:rsidRDefault="000D7F95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D7F95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D7F95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D7F95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D7F95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D7F95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D7F95" w:rsidRDefault="0080585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0,857</w:t>
                  </w:r>
                </w:p>
              </w:tc>
            </w:tr>
            <w:tr w:rsidR="00FC1CBD" w:rsidRPr="000D7F95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D7F95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D7F95" w:rsidRDefault="0080585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72,2</w:t>
                  </w:r>
                </w:p>
              </w:tc>
            </w:tr>
            <w:tr w:rsidR="00FC1CBD" w:rsidRPr="000D7F95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D7F95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D7F95" w:rsidRDefault="0080585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11,9</w:t>
                  </w:r>
                </w:p>
              </w:tc>
            </w:tr>
            <w:tr w:rsidR="00FC1CBD" w:rsidRPr="000D7F95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D7F95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D7F95" w:rsidRDefault="0080585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161</w:t>
                  </w:r>
                </w:p>
              </w:tc>
            </w:tr>
            <w:tr w:rsidR="00FC1CBD" w:rsidRPr="000D7F95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D7F95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D7F95" w:rsidRDefault="0080585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-42</w:t>
                  </w:r>
                </w:p>
              </w:tc>
            </w:tr>
            <w:tr w:rsidR="00FC1CBD" w:rsidRPr="000D7F95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D7F95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D7F95" w:rsidRDefault="00F3792C" w:rsidP="000319A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0319A6" w:rsidRPr="000D7F9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</w:t>
                  </w:r>
                  <w:r w:rsidR="0080585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  <w:tr w:rsidR="00FC1CBD" w:rsidRPr="000D7F95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D7F95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D7F95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Číslo celkovej alkality (BN)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D7F95" w:rsidRDefault="0080585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2179B6" w:rsidRPr="000D7F95" w:rsidRDefault="001661FE" w:rsidP="00EC3EA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0D7F95">
        <w:trPr>
          <w:trHeight w:val="557"/>
        </w:trPr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0D7F95" w:rsidRDefault="000D7F95" w:rsidP="000D7F9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5W-30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CK-4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SN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MB-Approval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228.51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M 3677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Volvo VDS-4.5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Renault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RLD-4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MTU Type 3.1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MACK EO-S-4.5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E7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E6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JASO DH-2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M 3477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M 3271-1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M 3777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Scania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Low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Ash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Renault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RLD-3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Caterpillar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ECF-3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Detroit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Diesel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DFS 93K222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>Deutz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DQC IV-10LA</w:t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Pr="000D7F95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ACEA E9</w:t>
            </w:r>
          </w:p>
        </w:tc>
      </w:tr>
      <w:tr w:rsidR="002179B6" w:rsidTr="00B70311">
        <w:trPr>
          <w:trHeight w:val="3496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lastRenderedPageBreak/>
              <w:t xml:space="preserve">Pokyny pre manipuláciu </w:t>
            </w:r>
            <w:r w:rsidR="00327E21"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Skladujte v uzavretých originálnych obaloch na suchých miestach s dostatočným vetraním</w:t>
            </w:r>
            <w:r w:rsidR="00327E21"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</w:t>
            </w:r>
            <w:r w:rsidR="00327E21"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vzťahujúce sa k ropným výrobkom.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</w:t>
            </w:r>
            <w:r w:rsidR="00327E21"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škody. V takomto prípade výrobca ani predajca nenesú zodpovednosť.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B70311" w:rsidRPr="000D7F95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0D7F95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E8" w:rsidRDefault="00240BE8" w:rsidP="002179B6">
      <w:pPr>
        <w:spacing w:before="0" w:after="0" w:line="240" w:lineRule="auto"/>
      </w:pPr>
      <w:r>
        <w:separator/>
      </w:r>
    </w:p>
  </w:endnote>
  <w:endnote w:type="continuationSeparator" w:id="0">
    <w:p w:rsidR="00240BE8" w:rsidRDefault="00240BE8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2" w:rsidRDefault="00631722" w:rsidP="00631722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631722" w:rsidRDefault="00631722">
    <w:pPr>
      <w:pStyle w:val="Pta"/>
    </w:pPr>
    <w:r>
      <w:tab/>
    </w:r>
    <w:sdt>
      <w:sdtPr>
        <w:id w:val="-334683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735ED">
          <w:rPr>
            <w:noProof/>
          </w:rPr>
          <w:t>1</w:t>
        </w:r>
        <w:r>
          <w:fldChar w:fldCharType="end"/>
        </w:r>
        <w:r w:rsidR="000D7F95">
          <w:t>/3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E8" w:rsidRDefault="00240BE8" w:rsidP="002179B6">
      <w:pPr>
        <w:spacing w:before="0" w:after="0" w:line="240" w:lineRule="auto"/>
      </w:pPr>
      <w:r>
        <w:separator/>
      </w:r>
    </w:p>
  </w:footnote>
  <w:footnote w:type="continuationSeparator" w:id="0">
    <w:p w:rsidR="00240BE8" w:rsidRDefault="00240BE8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3B5D"/>
    <w:multiLevelType w:val="multilevel"/>
    <w:tmpl w:val="3B4C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121B7"/>
    <w:multiLevelType w:val="multilevel"/>
    <w:tmpl w:val="2B48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B4848"/>
    <w:multiLevelType w:val="multilevel"/>
    <w:tmpl w:val="8B1E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540C1"/>
    <w:multiLevelType w:val="multilevel"/>
    <w:tmpl w:val="DDE2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D567F"/>
    <w:multiLevelType w:val="multilevel"/>
    <w:tmpl w:val="FB86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81657"/>
    <w:multiLevelType w:val="multilevel"/>
    <w:tmpl w:val="855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7678B"/>
    <w:multiLevelType w:val="multilevel"/>
    <w:tmpl w:val="275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635A8"/>
    <w:multiLevelType w:val="multilevel"/>
    <w:tmpl w:val="6978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F3673"/>
    <w:multiLevelType w:val="multilevel"/>
    <w:tmpl w:val="3D9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E75B3"/>
    <w:multiLevelType w:val="multilevel"/>
    <w:tmpl w:val="6676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23CA0"/>
    <w:multiLevelType w:val="multilevel"/>
    <w:tmpl w:val="330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AA2C59"/>
    <w:multiLevelType w:val="multilevel"/>
    <w:tmpl w:val="226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319A6"/>
    <w:rsid w:val="000B486B"/>
    <w:rsid w:val="000D7F95"/>
    <w:rsid w:val="0015326D"/>
    <w:rsid w:val="001661FE"/>
    <w:rsid w:val="002179B6"/>
    <w:rsid w:val="00223119"/>
    <w:rsid w:val="00233269"/>
    <w:rsid w:val="00240BE8"/>
    <w:rsid w:val="002C6114"/>
    <w:rsid w:val="002E7F35"/>
    <w:rsid w:val="00306C22"/>
    <w:rsid w:val="00327E21"/>
    <w:rsid w:val="00564C00"/>
    <w:rsid w:val="00581E39"/>
    <w:rsid w:val="005B1B77"/>
    <w:rsid w:val="005C7B6C"/>
    <w:rsid w:val="005F7D4E"/>
    <w:rsid w:val="006238F3"/>
    <w:rsid w:val="00631722"/>
    <w:rsid w:val="006559EA"/>
    <w:rsid w:val="006A78FE"/>
    <w:rsid w:val="006D7EAB"/>
    <w:rsid w:val="007375B5"/>
    <w:rsid w:val="00780614"/>
    <w:rsid w:val="00784C94"/>
    <w:rsid w:val="0080585D"/>
    <w:rsid w:val="008407C0"/>
    <w:rsid w:val="008735ED"/>
    <w:rsid w:val="008A0332"/>
    <w:rsid w:val="00964E51"/>
    <w:rsid w:val="00986B26"/>
    <w:rsid w:val="009C4A3A"/>
    <w:rsid w:val="00A35AE2"/>
    <w:rsid w:val="00B24BA1"/>
    <w:rsid w:val="00B70311"/>
    <w:rsid w:val="00BA0B2B"/>
    <w:rsid w:val="00BD2AC0"/>
    <w:rsid w:val="00C728C1"/>
    <w:rsid w:val="00CA3898"/>
    <w:rsid w:val="00D031CB"/>
    <w:rsid w:val="00D57AFF"/>
    <w:rsid w:val="00D63ED3"/>
    <w:rsid w:val="00EC3EA0"/>
    <w:rsid w:val="00F07894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C5133"/>
    <w:rsid w:val="000D1AE6"/>
    <w:rsid w:val="00315642"/>
    <w:rsid w:val="004171D9"/>
    <w:rsid w:val="00687541"/>
    <w:rsid w:val="007C786A"/>
    <w:rsid w:val="00841CCE"/>
    <w:rsid w:val="00AE7377"/>
    <w:rsid w:val="00C25B49"/>
    <w:rsid w:val="00CC37A6"/>
    <w:rsid w:val="00D0731B"/>
    <w:rsid w:val="00D238A2"/>
    <w:rsid w:val="00D96BD1"/>
    <w:rsid w:val="00DC19F2"/>
    <w:rsid w:val="00E11380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Top Diesel 5W-30</dc:creator>
  <cp:lastModifiedBy>AUTEX-ZA</cp:lastModifiedBy>
  <cp:revision>8</cp:revision>
  <cp:lastPrinted>2019-03-12T13:42:00Z</cp:lastPrinted>
  <dcterms:created xsi:type="dcterms:W3CDTF">2022-03-28T18:13:00Z</dcterms:created>
  <dcterms:modified xsi:type="dcterms:W3CDTF">2022-04-08T04:36:00Z</dcterms:modified>
</cp:coreProperties>
</file>